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right="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霸州市机构编制委员会办公室2016年度部门决算信息公开情况</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129号）等规定，现将2016年部门决算公开如下：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黑体" w:hAnsi="黑体" w:eastAsia="黑体" w:cs="黑体"/>
          <w:sz w:val="32"/>
          <w:szCs w:val="32"/>
        </w:rPr>
      </w:pPr>
      <w:r>
        <w:rPr>
          <w:rFonts w:hint="eastAsia" w:ascii="黑体" w:hAnsi="黑体" w:eastAsia="黑体" w:cs="黑体"/>
          <w:kern w:val="0"/>
          <w:sz w:val="32"/>
          <w:szCs w:val="32"/>
          <w:lang w:val="en-US" w:eastAsia="zh-CN" w:bidi="ar"/>
        </w:rPr>
        <w:t>一、部门职责及机构设置等基本情况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left"/>
        <w:rPr>
          <w:rFonts w:hint="eastAsia" w:ascii="楷体" w:hAnsi="楷体" w:eastAsia="楷体" w:cs="楷体"/>
          <w:b/>
          <w:bCs/>
          <w:sz w:val="32"/>
          <w:szCs w:val="32"/>
        </w:rPr>
      </w:pPr>
      <w:r>
        <w:rPr>
          <w:rFonts w:hint="eastAsia" w:ascii="楷体" w:hAnsi="楷体" w:eastAsia="楷体" w:cs="楷体"/>
          <w:b/>
          <w:bCs/>
          <w:kern w:val="0"/>
          <w:sz w:val="32"/>
          <w:szCs w:val="32"/>
          <w:lang w:val="en-US" w:eastAsia="zh-CN" w:bidi="ar"/>
        </w:rPr>
        <w:t>一、部门职责：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组织拟订全市行政管理体制和机构改革总体方案并组织实施，审核或审批市委、市政府及各部门的派出机构的职能配置、机构设置、人员编制和领导职数。负责对全市行政、事业单位管理体制和机构改革及机构编制执行情况的跟踪评估和监督检查，承办市委、市政府和市机构编制委员会交办的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一、管理和指导全市各级党政机关，人大、政协、法院、检察院机关，各民主党派、人民团体机关的机构编制工作；管理和指导全市事业单位机构编制工作。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二、审核全市的行政管理体制和机构改革方案审核并管理全市各级各类人员编制总额。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三、协调市委各部门之间、市政府各部门之间、市委各部门与政府各部门之间以及市直各部门（乡镇、区办）之间的职责分工。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四、审核市委、市政府股级以上机构设置和调整事宜。审核市、乡镇两级机构编制分类。负责省垂直管理部门或双重管理部门需要承办的机构编制有关事宜。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五、审核是人大、市政府、市、市人民检察院、市级各民主党派、市级人民团体机关的职能配置、机构设置、人员编制和领导职数。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六、负责全市事业单位法人登记管理和监督检查工作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七、审核市级开发区（园区）职能配置、机构设置、人员编制和领导职数。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八、负责机构编制日常管理。负责对全市机构编制的总量控制、动态管理和机构编制标准化工作。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九、承办市委、市政府和市机构编制委员会交办的其他事项。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3" w:firstLineChars="200"/>
        <w:jc w:val="left"/>
        <w:rPr>
          <w:rFonts w:hint="eastAsia" w:ascii="楷体" w:hAnsi="楷体" w:eastAsia="楷体" w:cs="楷体"/>
          <w:sz w:val="32"/>
          <w:szCs w:val="32"/>
        </w:rPr>
      </w:pPr>
      <w:r>
        <w:rPr>
          <w:rFonts w:hint="eastAsia" w:ascii="楷体" w:hAnsi="楷体" w:eastAsia="楷体" w:cs="楷体"/>
          <w:b/>
          <w:kern w:val="0"/>
          <w:sz w:val="32"/>
          <w:szCs w:val="32"/>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部门机构设置情况</w:t>
      </w:r>
    </w:p>
    <w:tbl>
      <w:tblPr>
        <w:tblStyle w:val="3"/>
        <w:tblW w:w="9671" w:type="dxa"/>
        <w:jc w:val="center"/>
        <w:tblInd w:w="19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36"/>
        <w:gridCol w:w="2104"/>
        <w:gridCol w:w="2265"/>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jc w:val="center"/>
        </w:trPr>
        <w:tc>
          <w:tcPr>
            <w:tcW w:w="303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sz w:val="18"/>
                <w:szCs w:val="18"/>
              </w:rPr>
            </w:pPr>
            <w:r>
              <w:rPr>
                <w:rFonts w:hint="default" w:ascii="仿宋_GB2312" w:hAnsi="仿宋_GB2312" w:eastAsia="仿宋_GB2312" w:cs="仿宋_GB2312"/>
                <w:kern w:val="0"/>
                <w:sz w:val="21"/>
                <w:szCs w:val="21"/>
                <w:lang w:val="en-US" w:eastAsia="zh-CN" w:bidi="ar"/>
              </w:rPr>
              <w:t>单位名称</w:t>
            </w:r>
          </w:p>
        </w:tc>
        <w:tc>
          <w:tcPr>
            <w:tcW w:w="21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单位性质</w:t>
            </w:r>
          </w:p>
        </w:tc>
        <w:tc>
          <w:tcPr>
            <w:tcW w:w="22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单位规格</w:t>
            </w:r>
          </w:p>
        </w:tc>
        <w:tc>
          <w:tcPr>
            <w:tcW w:w="22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03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霸州市机构编制委员会办公室</w:t>
            </w:r>
          </w:p>
        </w:tc>
        <w:tc>
          <w:tcPr>
            <w:tcW w:w="21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行政</w:t>
            </w:r>
          </w:p>
        </w:tc>
        <w:tc>
          <w:tcPr>
            <w:tcW w:w="2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正科级</w:t>
            </w:r>
          </w:p>
        </w:tc>
        <w:tc>
          <w:tcPr>
            <w:tcW w:w="22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仿宋_GB2312" w:hAnsi="仿宋_GB2312" w:eastAsia="仿宋_GB2312" w:cs="仿宋_GB2312"/>
                <w:kern w:val="0"/>
                <w:sz w:val="21"/>
                <w:szCs w:val="21"/>
                <w:lang w:val="en-US" w:eastAsia="zh-CN" w:bidi="ar"/>
              </w:rPr>
            </w:pPr>
            <w:r>
              <w:rPr>
                <w:rFonts w:hint="default" w:ascii="仿宋_GB2312" w:hAnsi="仿宋_GB2312" w:eastAsia="仿宋_GB2312" w:cs="仿宋_GB2312"/>
                <w:kern w:val="0"/>
                <w:sz w:val="21"/>
                <w:szCs w:val="21"/>
                <w:lang w:val="en-US" w:eastAsia="zh-CN" w:bidi="ar"/>
              </w:rPr>
              <w:t>财政性资金基本保证</w:t>
            </w:r>
          </w:p>
        </w:tc>
      </w:tr>
    </w:tbl>
    <w:p>
      <w:pPr>
        <w:numPr>
          <w:ilvl w:val="0"/>
          <w:numId w:val="1"/>
        </w:numPr>
        <w:ind w:firstLine="640"/>
        <w:rPr>
          <w:rFonts w:hint="eastAsia" w:ascii="黑体" w:hAnsi="黑体" w:eastAsia="黑体"/>
          <w:sz w:val="32"/>
          <w:szCs w:val="32"/>
        </w:rPr>
      </w:pPr>
      <w:r>
        <w:rPr>
          <w:rFonts w:hint="eastAsia" w:ascii="黑体" w:hAnsi="黑体" w:eastAsia="黑体"/>
          <w:sz w:val="32"/>
          <w:szCs w:val="32"/>
        </w:rPr>
        <w:t>部门决算报表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（七）政府性基金预算财政拨款收入支出决算表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（九）“三公”经费及相关信息统计表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（十）政府采购情况表</w:t>
      </w:r>
    </w:p>
    <w:p>
      <w:pPr>
        <w:ind w:firstLine="640"/>
        <w:rPr>
          <w:rFonts w:hint="eastAsia" w:ascii="黑体" w:hAnsi="黑体" w:eastAsia="黑体"/>
          <w:sz w:val="32"/>
          <w:szCs w:val="32"/>
          <w:lang w:eastAsia="zh-CN"/>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2016年度部门决算情况说明</w:t>
      </w:r>
    </w:p>
    <w:p>
      <w:pPr>
        <w:spacing w:line="580" w:lineRule="atLeast"/>
        <w:ind w:firstLine="640"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收入支出决算总体情况说明</w:t>
      </w:r>
    </w:p>
    <w:p>
      <w:pPr>
        <w:spacing w:line="580" w:lineRule="atLeast"/>
        <w:ind w:firstLine="640" w:firstLineChars="200"/>
        <w:rPr>
          <w:rFonts w:hint="eastAsia" w:ascii="黑体" w:hAnsi="黑体" w:eastAsia="黑体" w:cs="黑体"/>
          <w:sz w:val="32"/>
          <w:szCs w:val="32"/>
        </w:rPr>
      </w:pPr>
      <w:r>
        <w:rPr>
          <w:rFonts w:ascii="仿宋_GB2312" w:hAnsi="仿宋" w:eastAsia="仿宋_GB2312"/>
          <w:sz w:val="32"/>
          <w:szCs w:val="32"/>
        </w:rPr>
        <w:t>反映本部门</w:t>
      </w:r>
      <w:r>
        <w:rPr>
          <w:rFonts w:hint="eastAsia" w:ascii="仿宋_GB2312" w:hAnsi="仿宋_GB2312" w:eastAsia="仿宋_GB2312"/>
          <w:sz w:val="32"/>
          <w:szCs w:val="32"/>
        </w:rPr>
        <w:t>综合收支情况。</w:t>
      </w:r>
      <w:r>
        <w:rPr>
          <w:rFonts w:hint="eastAsia" w:ascii="仿宋_GB2312" w:hAnsi="仿宋_GB2312" w:eastAsia="仿宋_GB2312" w:cs="仿宋_GB2312"/>
          <w:sz w:val="32"/>
          <w:szCs w:val="32"/>
        </w:rPr>
        <w:t>2016年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本部门收入</w:t>
      </w:r>
      <w:r>
        <w:rPr>
          <w:rFonts w:hint="eastAsia" w:ascii="仿宋_GB2312" w:hAnsi="仿宋_GB2312" w:eastAsia="仿宋_GB2312" w:cs="仿宋_GB2312"/>
          <w:sz w:val="32"/>
          <w:szCs w:val="32"/>
          <w:lang w:val="en-US" w:eastAsia="zh-CN"/>
        </w:rPr>
        <w:t>176.47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全部为财政拨款收入</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180.82</w:t>
      </w:r>
      <w:r>
        <w:rPr>
          <w:rFonts w:hint="eastAsia" w:ascii="仿宋_GB2312" w:hAnsi="仿宋_GB2312" w:eastAsia="仿宋_GB2312" w:cs="仿宋_GB2312"/>
          <w:sz w:val="32"/>
          <w:szCs w:val="32"/>
        </w:rPr>
        <w:t>万元（基本支出</w:t>
      </w:r>
      <w:r>
        <w:rPr>
          <w:rFonts w:hint="eastAsia" w:ascii="仿宋_GB2312" w:hAnsi="仿宋_GB2312" w:eastAsia="仿宋_GB2312" w:cs="仿宋_GB2312"/>
          <w:sz w:val="32"/>
          <w:szCs w:val="32"/>
          <w:lang w:val="en-US" w:eastAsia="zh-CN"/>
        </w:rPr>
        <w:t>154.45</w:t>
      </w:r>
      <w:r>
        <w:rPr>
          <w:rFonts w:hint="eastAsia" w:ascii="仿宋_GB2312" w:hAnsi="仿宋_GB2312" w:eastAsia="仿宋_GB2312" w:cs="仿宋_GB2312"/>
          <w:sz w:val="32"/>
          <w:szCs w:val="32"/>
        </w:rPr>
        <w:t>万元和项目支出</w:t>
      </w:r>
      <w:r>
        <w:rPr>
          <w:rFonts w:hint="eastAsia" w:ascii="仿宋_GB2312" w:hAnsi="仿宋_GB2312" w:eastAsia="仿宋_GB2312" w:cs="仿宋_GB2312"/>
          <w:sz w:val="32"/>
          <w:szCs w:val="32"/>
          <w:lang w:val="en-US" w:eastAsia="zh-CN"/>
        </w:rPr>
        <w:t>26.37</w:t>
      </w:r>
      <w:r>
        <w:rPr>
          <w:rFonts w:hint="eastAsia" w:ascii="仿宋_GB2312" w:hAnsi="仿宋_GB2312" w:eastAsia="仿宋_GB2312" w:cs="仿宋_GB2312"/>
          <w:sz w:val="32"/>
          <w:szCs w:val="32"/>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ascii="仿宋_GB2312" w:hAnsi="仿宋" w:eastAsia="仿宋_GB2312"/>
          <w:sz w:val="32"/>
          <w:szCs w:val="32"/>
        </w:rPr>
        <w:t>反映本部门当年</w:t>
      </w:r>
      <w:r>
        <w:rPr>
          <w:rFonts w:hint="eastAsia" w:ascii="仿宋_GB2312" w:hAnsi="仿宋" w:eastAsia="仿宋_GB2312"/>
          <w:sz w:val="32"/>
          <w:szCs w:val="32"/>
        </w:rPr>
        <w:t>总体收入情况</w:t>
      </w:r>
      <w:r>
        <w:rPr>
          <w:rFonts w:ascii="仿宋_GB2312" w:hAnsi="仿宋" w:eastAsia="仿宋_GB2312"/>
          <w:sz w:val="32"/>
          <w:szCs w:val="32"/>
        </w:rPr>
        <w:t>。</w:t>
      </w:r>
      <w:r>
        <w:rPr>
          <w:rFonts w:hint="eastAsia" w:ascii="仿宋_GB2312" w:hAnsi="仿宋_GB2312" w:eastAsia="仿宋_GB2312" w:cs="仿宋_GB2312"/>
          <w:kern w:val="0"/>
          <w:sz w:val="32"/>
          <w:szCs w:val="32"/>
          <w:lang w:val="en-US" w:eastAsia="zh-CN" w:bidi="ar"/>
        </w:rPr>
        <w:t>2016年度本部门决算收入合计176.47万元，其中：财政拨款收入176.47万元（包括部门决算中由一般公共财政拨款176.47万元、政府性基金预算收入0万元、国有资本经营预算安排的拨款收入0万元）、上级拨款收入0万元、事业收入0万元、经营收入0万元、附属单位上缴收入0万元、其他收入0万元。</w:t>
      </w:r>
      <w:r>
        <w:rPr>
          <w:rFonts w:hint="eastAsia" w:ascii="仿宋_GB2312" w:hAnsi="仿宋_GB2312" w:eastAsia="仿宋_GB2312" w:cs="仿宋_GB2312"/>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（三）支出决算情况说明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left"/>
        <w:rPr>
          <w:rFonts w:hint="eastAsia" w:ascii="仿宋_GB2312" w:hAnsi="仿宋_GB2312" w:eastAsia="仿宋_GB2312" w:cs="仿宋_GB2312"/>
          <w:sz w:val="21"/>
          <w:szCs w:val="21"/>
        </w:rPr>
      </w:pPr>
      <w:r>
        <w:rPr>
          <w:rFonts w:ascii="仿宋_GB2312" w:hAnsi="仿宋" w:eastAsia="仿宋_GB2312"/>
          <w:sz w:val="32"/>
          <w:szCs w:val="32"/>
        </w:rPr>
        <w:t>反映本部门当年</w:t>
      </w:r>
      <w:r>
        <w:rPr>
          <w:rFonts w:hint="eastAsia" w:ascii="仿宋_GB2312" w:hAnsi="仿宋" w:eastAsia="仿宋_GB2312"/>
          <w:sz w:val="32"/>
          <w:szCs w:val="32"/>
        </w:rPr>
        <w:t>总体支出情况</w:t>
      </w:r>
      <w:r>
        <w:rPr>
          <w:rFonts w:ascii="仿宋_GB2312" w:hAnsi="仿宋" w:eastAsia="仿宋_GB2312"/>
          <w:sz w:val="32"/>
          <w:szCs w:val="32"/>
        </w:rPr>
        <w:t>。</w:t>
      </w:r>
      <w:r>
        <w:rPr>
          <w:rFonts w:hint="eastAsia" w:ascii="仿宋_GB2312" w:hAnsi="仿宋_GB2312" w:eastAsia="仿宋_GB2312" w:cs="仿宋_GB2312"/>
          <w:kern w:val="0"/>
          <w:sz w:val="32"/>
          <w:szCs w:val="32"/>
          <w:lang w:val="en-US" w:eastAsia="zh-CN" w:bidi="ar"/>
        </w:rPr>
        <w:t>2016年度本部门支出决算180.82万元，其中基本支出154.45万元，包括人员经费和日常公用经费；项目支出26.37万元，均为本级支出，主要为事业单位改革经费10万元，行政审批经费10万元，关于政务和公益域名6.37万元。上缴上级支出0万元、经营支出0万元、对附属单位补助支出0万元。本年度我部门未安排政府性基金决算及国有资本经营决算收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left"/>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（四）财政拨款收入支出决算总体情况说明</w:t>
      </w:r>
    </w:p>
    <w:p>
      <w:pPr>
        <w:spacing w:line="580" w:lineRule="atLeast"/>
        <w:ind w:firstLine="640" w:firstLineChars="200"/>
        <w:rPr>
          <w:rFonts w:hint="eastAsia" w:ascii="仿宋_GB2312" w:hAnsi="仿宋_GB2312" w:eastAsia="仿宋_GB2312" w:cs="仿宋_GB2312"/>
          <w:sz w:val="32"/>
          <w:szCs w:val="32"/>
          <w:lang w:val="en-US" w:eastAsia="zh-CN"/>
        </w:rPr>
      </w:pPr>
      <w:r>
        <w:rPr>
          <w:rFonts w:ascii="仿宋_GB2312" w:hAnsi="仿宋" w:eastAsia="仿宋_GB2312"/>
          <w:sz w:val="32"/>
          <w:szCs w:val="32"/>
        </w:rPr>
        <w:t>反映本部门</w:t>
      </w:r>
      <w:r>
        <w:rPr>
          <w:rFonts w:hint="eastAsia" w:ascii="仿宋_GB2312" w:hAnsi="仿宋" w:eastAsia="仿宋_GB2312"/>
          <w:sz w:val="32"/>
          <w:szCs w:val="32"/>
        </w:rPr>
        <w:t>财政拨款收支情况。</w:t>
      </w:r>
      <w:r>
        <w:rPr>
          <w:rFonts w:hint="eastAsia" w:ascii="仿宋_GB2312" w:hAnsi="仿宋_GB2312" w:eastAsia="仿宋_GB2312" w:cs="仿宋_GB2312"/>
          <w:sz w:val="32"/>
          <w:szCs w:val="32"/>
        </w:rPr>
        <w:t>2016年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本部门一般公共预算财政拨款收入</w:t>
      </w:r>
      <w:r>
        <w:rPr>
          <w:rFonts w:hint="eastAsia" w:ascii="仿宋_GB2312" w:hAnsi="仿宋_GB2312" w:eastAsia="仿宋_GB2312" w:cs="仿宋_GB2312"/>
          <w:sz w:val="32"/>
          <w:szCs w:val="32"/>
          <w:lang w:val="en-US" w:eastAsia="zh-CN"/>
        </w:rPr>
        <w:t>176.47</w:t>
      </w:r>
      <w:r>
        <w:rPr>
          <w:rFonts w:hint="eastAsia" w:ascii="仿宋_GB2312" w:hAnsi="仿宋_GB2312" w:eastAsia="仿宋_GB2312" w:cs="仿宋_GB2312"/>
          <w:sz w:val="32"/>
          <w:szCs w:val="32"/>
        </w:rPr>
        <w:t>万元，一般公共预算财政拨款支出</w:t>
      </w:r>
      <w:r>
        <w:rPr>
          <w:rFonts w:hint="eastAsia" w:ascii="仿宋_GB2312" w:hAnsi="仿宋_GB2312" w:eastAsia="仿宋_GB2312" w:cs="仿宋_GB2312"/>
          <w:sz w:val="32"/>
          <w:szCs w:val="32"/>
          <w:lang w:val="en-US" w:eastAsia="zh-CN"/>
        </w:rPr>
        <w:t>180.82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154.45万元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26.37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政府性基金预算财政拨款</w:t>
      </w:r>
      <w:r>
        <w:rPr>
          <w:rFonts w:hint="eastAsia" w:ascii="仿宋_GB2312" w:hAnsi="仿宋" w:eastAsia="仿宋_GB2312"/>
          <w:sz w:val="32"/>
          <w:szCs w:val="32"/>
          <w:lang w:val="en-US" w:eastAsia="zh-CN"/>
        </w:rPr>
        <w:t>0万元。</w:t>
      </w:r>
    </w:p>
    <w:p>
      <w:pPr>
        <w:widowControl/>
        <w:spacing w:line="520" w:lineRule="exact"/>
        <w:ind w:firstLine="640" w:firstLineChars="200"/>
        <w:jc w:val="left"/>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（五）“三公”经费支出决算情况说明</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_GB2312" w:eastAsia="仿宋_GB2312" w:cs="仿宋_GB2312"/>
          <w:kern w:val="0"/>
          <w:sz w:val="32"/>
          <w:szCs w:val="32"/>
          <w:lang w:val="en-US" w:eastAsia="zh-CN" w:bidi="ar"/>
        </w:rPr>
        <w:t>2016年部门“三公”经费决算2.86万元，比预算增加0.06万元，</w:t>
      </w:r>
      <w:r>
        <w:rPr>
          <w:rFonts w:hint="eastAsia" w:ascii="仿宋_GB2312" w:hAnsi="仿宋" w:eastAsia="仿宋_GB2312"/>
          <w:sz w:val="32"/>
          <w:szCs w:val="32"/>
        </w:rPr>
        <w:t>比2015年度决算减少</w:t>
      </w:r>
      <w:r>
        <w:rPr>
          <w:rFonts w:hint="eastAsia" w:ascii="仿宋_GB2312" w:hAnsi="仿宋" w:eastAsia="仿宋_GB2312"/>
          <w:sz w:val="32"/>
          <w:szCs w:val="32"/>
          <w:lang w:val="en-US" w:eastAsia="zh-CN"/>
        </w:rPr>
        <w:t>0.85</w:t>
      </w:r>
      <w:r>
        <w:rPr>
          <w:rFonts w:hint="eastAsia" w:ascii="仿宋_GB2312" w:hAnsi="仿宋" w:eastAsia="仿宋_GB2312"/>
          <w:sz w:val="32"/>
          <w:szCs w:val="32"/>
        </w:rPr>
        <w:t>万元。</w:t>
      </w:r>
    </w:p>
    <w:p>
      <w:pPr>
        <w:widowControl/>
        <w:spacing w:line="520" w:lineRule="exact"/>
        <w:ind w:firstLine="640" w:firstLineChars="200"/>
        <w:jc w:val="left"/>
        <w:rPr>
          <w:rFonts w:hint="eastAsia" w:ascii="仿宋_GB2312" w:hAnsi="仿宋_GB2312" w:eastAsia="仿宋_GB2312" w:cs="仿宋_GB2312"/>
          <w:color w:val="FF0000"/>
          <w:sz w:val="21"/>
          <w:szCs w:val="21"/>
        </w:rPr>
      </w:pPr>
      <w:r>
        <w:rPr>
          <w:rFonts w:hint="eastAsia" w:ascii="仿宋_GB2312" w:hAnsi="仿宋" w:eastAsia="仿宋_GB2312"/>
          <w:sz w:val="32"/>
          <w:szCs w:val="32"/>
        </w:rPr>
        <w:t>其中：因公出国（境）费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万元（本单位2016年度组织出国（境）团组</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个，因公出国（境）人次数</w:t>
      </w:r>
      <w:r>
        <w:rPr>
          <w:rFonts w:hint="eastAsia" w:ascii="仿宋_GB2312" w:hAnsi="仿宋" w:eastAsia="仿宋_GB2312"/>
          <w:sz w:val="32"/>
          <w:szCs w:val="32"/>
          <w:lang w:val="en-US" w:eastAsia="zh-CN"/>
        </w:rPr>
        <w:t>0</w:t>
      </w:r>
      <w:r>
        <w:rPr>
          <w:rFonts w:hint="eastAsia" w:ascii="仿宋_GB2312" w:hAnsi="仿宋" w:eastAsia="仿宋_GB2312"/>
          <w:sz w:val="32"/>
          <w:szCs w:val="32"/>
        </w:rPr>
        <w:t>人），</w:t>
      </w:r>
      <w:r>
        <w:rPr>
          <w:rFonts w:hint="eastAsia" w:ascii="仿宋_GB2312" w:hAnsi="仿宋" w:eastAsia="仿宋_GB2312"/>
          <w:sz w:val="32"/>
          <w:szCs w:val="32"/>
          <w:lang w:eastAsia="zh-CN"/>
        </w:rPr>
        <w:t>与</w:t>
      </w:r>
      <w:r>
        <w:rPr>
          <w:rFonts w:hint="eastAsia" w:ascii="仿宋_GB2312" w:hAnsi="仿宋" w:eastAsia="仿宋_GB2312"/>
          <w:sz w:val="32"/>
          <w:szCs w:val="32"/>
        </w:rPr>
        <w:t>2015年度决算</w:t>
      </w:r>
      <w:r>
        <w:rPr>
          <w:rFonts w:hint="eastAsia" w:ascii="仿宋_GB2312" w:hAnsi="仿宋" w:eastAsia="仿宋_GB2312"/>
          <w:sz w:val="32"/>
          <w:szCs w:val="32"/>
          <w:lang w:eastAsia="zh-CN"/>
        </w:rPr>
        <w:t>持平，无增减变化</w:t>
      </w:r>
      <w:r>
        <w:rPr>
          <w:rFonts w:hint="eastAsia" w:ascii="仿宋_GB2312" w:hAnsi="仿宋" w:eastAsia="仿宋_GB2312"/>
          <w:sz w:val="32"/>
          <w:szCs w:val="32"/>
        </w:rPr>
        <w:t>；公务用车购置及运行维护费</w:t>
      </w:r>
      <w:r>
        <w:rPr>
          <w:rFonts w:hint="eastAsia" w:ascii="仿宋_GB2312" w:hAnsi="仿宋" w:eastAsia="仿宋_GB2312"/>
          <w:sz w:val="32"/>
          <w:szCs w:val="32"/>
          <w:lang w:val="en-US" w:eastAsia="zh-CN"/>
        </w:rPr>
        <w:t>2.86</w:t>
      </w:r>
      <w:r>
        <w:rPr>
          <w:rFonts w:hint="eastAsia" w:ascii="仿宋_GB2312" w:hAnsi="仿宋" w:eastAsia="仿宋_GB2312"/>
          <w:sz w:val="32"/>
          <w:szCs w:val="32"/>
        </w:rPr>
        <w:t>万元（公务用车购置数量</w:t>
      </w:r>
      <w:r>
        <w:rPr>
          <w:rFonts w:hint="eastAsia" w:ascii="仿宋_GB2312" w:hAnsi="仿宋" w:eastAsia="仿宋_GB2312"/>
          <w:sz w:val="32"/>
          <w:szCs w:val="32"/>
          <w:lang w:val="en-US" w:eastAsia="zh-CN"/>
        </w:rPr>
        <w:t>0</w:t>
      </w:r>
      <w:r>
        <w:rPr>
          <w:rFonts w:hint="eastAsia" w:ascii="仿宋_GB2312" w:hAnsi="仿宋" w:eastAsia="仿宋_GB2312"/>
          <w:sz w:val="32"/>
          <w:szCs w:val="32"/>
        </w:rPr>
        <w:t>辆，购置金额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万元，公车运行维护费</w:t>
      </w:r>
      <w:r>
        <w:rPr>
          <w:rFonts w:hint="eastAsia" w:ascii="仿宋_GB2312" w:hAnsi="仿宋" w:eastAsia="仿宋_GB2312"/>
          <w:sz w:val="32"/>
          <w:szCs w:val="32"/>
          <w:lang w:val="en-US" w:eastAsia="zh-CN"/>
        </w:rPr>
        <w:t>2.56</w:t>
      </w:r>
      <w:r>
        <w:rPr>
          <w:rFonts w:hint="eastAsia" w:ascii="仿宋_GB2312" w:hAnsi="仿宋" w:eastAsia="仿宋_GB2312"/>
          <w:sz w:val="32"/>
          <w:szCs w:val="32"/>
        </w:rPr>
        <w:t>万元，年末公务用车保有量</w:t>
      </w:r>
      <w:r>
        <w:rPr>
          <w:rFonts w:hint="eastAsia" w:ascii="仿宋_GB2312" w:hAnsi="仿宋" w:eastAsia="仿宋_GB2312"/>
          <w:sz w:val="32"/>
          <w:szCs w:val="32"/>
          <w:lang w:val="en-US" w:eastAsia="zh-CN"/>
        </w:rPr>
        <w:t>1</w:t>
      </w:r>
      <w:r>
        <w:rPr>
          <w:rFonts w:hint="eastAsia" w:ascii="仿宋_GB2312" w:hAnsi="仿宋" w:eastAsia="仿宋_GB2312"/>
          <w:sz w:val="32"/>
          <w:szCs w:val="32"/>
        </w:rPr>
        <w:t>辆），比2015年度决算减少</w:t>
      </w:r>
      <w:r>
        <w:rPr>
          <w:rFonts w:hint="eastAsia" w:ascii="仿宋_GB2312" w:hAnsi="仿宋" w:eastAsia="仿宋_GB2312"/>
          <w:sz w:val="32"/>
          <w:szCs w:val="32"/>
          <w:lang w:val="en-US" w:eastAsia="zh-CN"/>
        </w:rPr>
        <w:t>0.85</w:t>
      </w:r>
      <w:r>
        <w:rPr>
          <w:rFonts w:hint="eastAsia" w:ascii="仿宋_GB2312" w:hAnsi="仿宋" w:eastAsia="仿宋_GB2312"/>
          <w:sz w:val="32"/>
          <w:szCs w:val="32"/>
        </w:rPr>
        <w:t>万元，原因是</w:t>
      </w:r>
      <w:r>
        <w:rPr>
          <w:rFonts w:hint="eastAsia" w:ascii="仿宋_GB2312" w:hAnsi="仿宋_GB2312" w:eastAsia="仿宋_GB2312" w:cs="仿宋_GB2312"/>
          <w:color w:val="auto"/>
          <w:kern w:val="0"/>
          <w:sz w:val="32"/>
          <w:szCs w:val="32"/>
          <w:lang w:val="en-US" w:eastAsia="zh-CN" w:bidi="ar"/>
        </w:rPr>
        <w:t>认真贯彻落实中央、省、市、区关于厉行节约的各项要求，进一步从严控制“三公经费”开支</w:t>
      </w:r>
      <w:r>
        <w:rPr>
          <w:rFonts w:hint="eastAsia" w:ascii="仿宋_GB2312" w:hAnsi="仿宋" w:eastAsia="仿宋_GB2312"/>
          <w:color w:val="auto"/>
          <w:sz w:val="32"/>
          <w:szCs w:val="32"/>
        </w:rPr>
        <w:t>；公</w:t>
      </w:r>
      <w:r>
        <w:rPr>
          <w:rFonts w:hint="eastAsia" w:ascii="仿宋_GB2312" w:hAnsi="仿宋" w:eastAsia="仿宋_GB2312"/>
          <w:sz w:val="32"/>
          <w:szCs w:val="32"/>
        </w:rPr>
        <w:t>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万元（2016年度国内公务接待</w:t>
      </w:r>
      <w:r>
        <w:rPr>
          <w:rFonts w:hint="eastAsia" w:ascii="仿宋_GB2312" w:hAnsi="仿宋" w:eastAsia="仿宋_GB2312"/>
          <w:sz w:val="32"/>
          <w:szCs w:val="32"/>
          <w:lang w:val="en-US" w:eastAsia="zh-CN"/>
        </w:rPr>
        <w:t>0</w:t>
      </w:r>
      <w:r>
        <w:rPr>
          <w:rFonts w:hint="eastAsia" w:ascii="仿宋_GB2312" w:hAnsi="仿宋" w:eastAsia="仿宋_GB2312"/>
          <w:sz w:val="32"/>
          <w:szCs w:val="32"/>
        </w:rPr>
        <w:t>批次，合计接待</w:t>
      </w:r>
      <w:r>
        <w:rPr>
          <w:rFonts w:hint="eastAsia" w:ascii="仿宋_GB2312" w:hAnsi="仿宋" w:eastAsia="仿宋_GB2312"/>
          <w:sz w:val="32"/>
          <w:szCs w:val="32"/>
          <w:lang w:val="en-US" w:eastAsia="zh-CN"/>
        </w:rPr>
        <w:t>0</w:t>
      </w:r>
      <w:r>
        <w:rPr>
          <w:rFonts w:hint="eastAsia" w:ascii="仿宋_GB2312" w:hAnsi="仿宋" w:eastAsia="仿宋_GB2312"/>
          <w:sz w:val="32"/>
          <w:szCs w:val="32"/>
        </w:rPr>
        <w:t>人次），比2015年度决算减少</w:t>
      </w:r>
      <w:r>
        <w:rPr>
          <w:rFonts w:hint="eastAsia" w:ascii="仿宋_GB2312" w:hAnsi="仿宋" w:eastAsia="仿宋_GB2312"/>
          <w:sz w:val="32"/>
          <w:szCs w:val="32"/>
          <w:lang w:val="en-US" w:eastAsia="zh-CN"/>
        </w:rPr>
        <w:t>0.12</w:t>
      </w:r>
      <w:r>
        <w:rPr>
          <w:rFonts w:hint="eastAsia" w:ascii="仿宋_GB2312" w:hAnsi="仿宋" w:eastAsia="仿宋_GB2312"/>
          <w:sz w:val="32"/>
          <w:szCs w:val="32"/>
        </w:rPr>
        <w:t>万元，原因是</w:t>
      </w:r>
      <w:r>
        <w:rPr>
          <w:rFonts w:hint="eastAsia" w:ascii="仿宋_GB2312" w:hAnsi="仿宋_GB2312" w:eastAsia="仿宋_GB2312" w:cs="仿宋_GB2312"/>
          <w:color w:val="auto"/>
          <w:kern w:val="0"/>
          <w:sz w:val="32"/>
          <w:szCs w:val="32"/>
          <w:lang w:val="en-US" w:eastAsia="zh-CN" w:bidi="ar"/>
        </w:rPr>
        <w:t>为严格控制接待标准和费用。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（六）机关运行经费安排情况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本部门2016年度机关运行经费支出14.02万元，比2015年度增加0.77万元，原因是日常工作量增加导致日常公用经费增高。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firstLineChars="200"/>
        <w:jc w:val="left"/>
        <w:rPr>
          <w:rFonts w:hint="eastAsia" w:ascii="楷体" w:hAnsi="楷体" w:eastAsia="楷体" w:cs="楷体"/>
          <w:b/>
          <w:bCs/>
          <w:kern w:val="0"/>
          <w:sz w:val="32"/>
          <w:szCs w:val="32"/>
          <w:lang w:val="en-US" w:eastAsia="zh-CN" w:bidi="ar"/>
        </w:rPr>
      </w:pPr>
      <w:r>
        <w:rPr>
          <w:rFonts w:hint="eastAsia" w:ascii="楷体" w:hAnsi="楷体" w:eastAsia="楷体" w:cs="楷体"/>
          <w:b/>
          <w:bCs/>
          <w:kern w:val="0"/>
          <w:sz w:val="32"/>
          <w:szCs w:val="32"/>
          <w:lang w:val="en-US" w:eastAsia="zh-CN" w:bidi="ar"/>
        </w:rPr>
        <w:t>（七）绩效决算信息情况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32"/>
          <w:szCs w:val="32"/>
          <w:lang w:val="en-US" w:eastAsia="zh-CN" w:bidi="ar"/>
        </w:rPr>
        <w:t>总体绩效目标：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1、加强行政审批制度改革工作，衔接落实好国务院第一批、第二批取消中央指定地方实施行政审批事项工作。2、推进重要领域行政体制改革，做好不动产登记中心设立及人员划转工作。3、推进经济发达镇行政管理体制改革试点工作，按照市编委《关于印发&lt;霸州市胜芳镇行政管理体制改革试点工作实施方案&gt;的通知》上半年我办与胜芳镇政府多次联系沟通改革相关工作。4、加强事业单位登记管理工作，顺利进行事业单位新版法人证书换证及年度报告公示工作。5、不断完善我市机构编制信息平台管理系统信息库信息，结合工作实际，不断完善我市机构编制信息平台管理系统信息库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32"/>
          <w:szCs w:val="32"/>
          <w:lang w:val="en-US" w:eastAsia="zh-CN" w:bidi="ar"/>
        </w:rPr>
        <w:t>部门职责及工作活动绩效目标指标：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eastAsia="宋体" w:cs="Verdana"/>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eastAsia="宋体" w:cs="Verdana"/>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部门职责-工作活动绩效目标</w:t>
      </w:r>
    </w:p>
    <w:tbl>
      <w:tblPr>
        <w:tblStyle w:val="3"/>
        <w:tblW w:w="13934" w:type="dxa"/>
        <w:jc w:val="center"/>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1"/>
        <w:gridCol w:w="1276"/>
        <w:gridCol w:w="2976"/>
        <w:gridCol w:w="2976"/>
        <w:gridCol w:w="1417"/>
        <w:gridCol w:w="737"/>
        <w:gridCol w:w="737"/>
        <w:gridCol w:w="737"/>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7" w:hRule="atLeast"/>
          <w:jc w:val="center"/>
        </w:trPr>
        <w:tc>
          <w:tcPr>
            <w:tcW w:w="10986" w:type="dxa"/>
            <w:gridSpan w:val="5"/>
            <w:tcBorders>
              <w:top w:val="single" w:color="FFFFFF" w:sz="8" w:space="0"/>
              <w:left w:val="single" w:color="FFFFFF" w:sz="8" w:space="0"/>
              <w:bottom w:val="single" w:color="000000" w:sz="8" w:space="0"/>
              <w:right w:val="single" w:color="FFFFFF"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eastAsia" w:ascii="宋体" w:hAnsi="宋体" w:eastAsia="宋体" w:cs="宋体"/>
                <w:kern w:val="0"/>
                <w:sz w:val="24"/>
                <w:szCs w:val="24"/>
                <w:lang w:val="en-US" w:eastAsia="zh-CN" w:bidi="ar"/>
              </w:rPr>
              <w:t>118</w:t>
            </w:r>
            <w:r>
              <w:rPr>
                <w:rFonts w:hint="default" w:ascii="Verdana" w:hAnsi="Verdana" w:eastAsia="宋体" w:cs="Verdana"/>
                <w:kern w:val="0"/>
                <w:sz w:val="24"/>
                <w:szCs w:val="24"/>
                <w:lang w:val="en-US" w:eastAsia="zh-CN" w:bidi="ar"/>
              </w:rPr>
              <w:t>霸州市机构编制委员会办公室</w:t>
            </w:r>
          </w:p>
        </w:tc>
        <w:tc>
          <w:tcPr>
            <w:tcW w:w="2948" w:type="dxa"/>
            <w:gridSpan w:val="4"/>
            <w:tcBorders>
              <w:top w:val="single" w:color="FFFFFF" w:sz="8" w:space="0"/>
              <w:left w:val="nil"/>
              <w:bottom w:val="single" w:color="000000" w:sz="8" w:space="0"/>
              <w:right w:val="single" w:color="FFFFFF"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rPr>
                <w:rFonts w:hint="default" w:ascii="Verdana" w:hAnsi="Verdana" w:cs="Verdana"/>
                <w:sz w:val="18"/>
                <w:szCs w:val="18"/>
              </w:rPr>
            </w:pPr>
            <w:r>
              <w:rPr>
                <w:rFonts w:hint="default" w:ascii="Verdana" w:hAnsi="Verdana" w:eastAsia="宋体" w:cs="Verdana"/>
                <w:kern w:val="0"/>
                <w:sz w:val="24"/>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职责活动</w:t>
            </w:r>
          </w:p>
        </w:tc>
        <w:tc>
          <w:tcPr>
            <w:tcW w:w="127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年度决算数</w:t>
            </w:r>
          </w:p>
        </w:tc>
        <w:tc>
          <w:tcPr>
            <w:tcW w:w="2976"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内容描述</w:t>
            </w:r>
          </w:p>
        </w:tc>
        <w:tc>
          <w:tcPr>
            <w:tcW w:w="2976"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绩效目标</w:t>
            </w:r>
          </w:p>
        </w:tc>
        <w:tc>
          <w:tcPr>
            <w:tcW w:w="1417"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绩效指标</w:t>
            </w:r>
          </w:p>
        </w:tc>
        <w:tc>
          <w:tcPr>
            <w:tcW w:w="2948" w:type="dxa"/>
            <w:gridSpan w:val="4"/>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b w:val="0"/>
                <w:bCs/>
                <w:sz w:val="18"/>
                <w:szCs w:val="18"/>
              </w:rPr>
            </w:pPr>
          </w:p>
        </w:tc>
        <w:tc>
          <w:tcPr>
            <w:tcW w:w="127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b w:val="0"/>
                <w:bCs/>
                <w:sz w:val="18"/>
                <w:szCs w:val="18"/>
              </w:rPr>
            </w:pPr>
          </w:p>
        </w:tc>
        <w:tc>
          <w:tcPr>
            <w:tcW w:w="2976"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b w:val="0"/>
                <w:bCs/>
                <w:sz w:val="18"/>
                <w:szCs w:val="18"/>
              </w:rPr>
            </w:pPr>
          </w:p>
        </w:tc>
        <w:tc>
          <w:tcPr>
            <w:tcW w:w="2976"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b w:val="0"/>
                <w:bCs/>
                <w:sz w:val="18"/>
                <w:szCs w:val="18"/>
              </w:rPr>
            </w:pPr>
          </w:p>
        </w:tc>
        <w:tc>
          <w:tcPr>
            <w:tcW w:w="1417"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b w:val="0"/>
                <w:bCs/>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优</w:t>
            </w:r>
          </w:p>
        </w:tc>
        <w:tc>
          <w:tcPr>
            <w:tcW w:w="737"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良</w:t>
            </w:r>
          </w:p>
        </w:tc>
        <w:tc>
          <w:tcPr>
            <w:tcW w:w="737"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中</w:t>
            </w:r>
          </w:p>
        </w:tc>
        <w:tc>
          <w:tcPr>
            <w:tcW w:w="737"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b w:val="0"/>
                <w:bCs/>
                <w:sz w:val="18"/>
                <w:szCs w:val="18"/>
              </w:rPr>
            </w:pPr>
            <w:r>
              <w:rPr>
                <w:rFonts w:hint="default" w:ascii="Verdana" w:hAnsi="Verdana" w:eastAsia="宋体" w:cs="Verdana"/>
                <w:b w:val="0"/>
                <w:bCs/>
                <w:kern w:val="0"/>
                <w:sz w:val="21"/>
                <w:szCs w:val="21"/>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b w:val="0"/>
                <w:bCs/>
                <w:sz w:val="18"/>
                <w:szCs w:val="18"/>
              </w:rPr>
            </w:pPr>
            <w:r>
              <w:rPr>
                <w:rFonts w:hint="eastAsia" w:ascii="宋体" w:hAnsi="宋体" w:eastAsia="宋体" w:cs="宋体"/>
                <w:b w:val="0"/>
                <w:bCs/>
                <w:kern w:val="0"/>
                <w:sz w:val="21"/>
                <w:szCs w:val="21"/>
                <w:lang w:val="en-US" w:eastAsia="zh-CN" w:bidi="ar"/>
              </w:rPr>
              <w:t>机构编制管理</w:t>
            </w:r>
          </w:p>
        </w:tc>
        <w:tc>
          <w:tcPr>
            <w:tcW w:w="12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18"/>
                <w:szCs w:val="18"/>
              </w:rPr>
            </w:pPr>
            <w:r>
              <w:rPr>
                <w:rFonts w:hint="eastAsia" w:ascii="宋体" w:hAnsi="宋体" w:eastAsia="宋体" w:cs="宋体"/>
                <w:kern w:val="0"/>
                <w:sz w:val="21"/>
                <w:szCs w:val="21"/>
                <w:lang w:val="en-US" w:eastAsia="zh-CN" w:bidi="ar"/>
              </w:rPr>
              <w:t>10.00</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审核或审批县委、县政府，人大、政协、法院、检察院机关，人民团体机关的机构编制管理事宜；负责全县事业单位法人登记管理和监督检查工作。</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审核或审批县委、县政府、人大、政协、法院、检察院机关，人民团体机关的机构编制管理事宜；负责全县事业单位法人登记管理和监督检查工作。</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jc w:val="center"/>
        </w:trPr>
        <w:tc>
          <w:tcPr>
            <w:tcW w:w="2341"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textAlignment w:val="center"/>
              <w:rPr>
                <w:rFonts w:hint="eastAsia" w:ascii="宋体" w:hAnsi="宋体" w:eastAsia="宋体" w:cs="宋体"/>
                <w:b w:val="0"/>
                <w:bCs/>
                <w:sz w:val="18"/>
                <w:szCs w:val="18"/>
              </w:rPr>
            </w:pPr>
            <w:r>
              <w:rPr>
                <w:rFonts w:hint="eastAsia" w:ascii="宋体" w:hAnsi="宋体" w:eastAsia="宋体" w:cs="宋体"/>
                <w:b w:val="0"/>
                <w:bCs/>
                <w:kern w:val="0"/>
                <w:sz w:val="21"/>
                <w:szCs w:val="21"/>
                <w:lang w:val="en-US" w:eastAsia="zh-CN" w:bidi="ar"/>
              </w:rPr>
              <w:t>机构编制监管</w:t>
            </w:r>
          </w:p>
        </w:tc>
        <w:tc>
          <w:tcPr>
            <w:tcW w:w="127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18"/>
                <w:szCs w:val="18"/>
              </w:rPr>
            </w:pPr>
            <w:r>
              <w:rPr>
                <w:rFonts w:hint="eastAsia" w:ascii="宋体" w:hAnsi="宋体" w:eastAsia="宋体" w:cs="宋体"/>
                <w:kern w:val="0"/>
                <w:sz w:val="21"/>
                <w:szCs w:val="21"/>
                <w:lang w:val="en-US" w:eastAsia="zh-CN" w:bidi="ar"/>
              </w:rPr>
              <w:t>10.00</w:t>
            </w:r>
          </w:p>
        </w:tc>
        <w:tc>
          <w:tcPr>
            <w:tcW w:w="297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开展机构编制实名制及人员编制使用情况核准，机构编制执行情况跟踪评估和监督检查工作；指导全县党政群机关、事业单位和其他非营利性单位网上名称管理工作。</w:t>
            </w:r>
          </w:p>
        </w:tc>
        <w:tc>
          <w:tcPr>
            <w:tcW w:w="2976"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全面推行实名制管理和编制使用核准,及时查处机构编制违法违纪案件</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sz w:val="18"/>
                <w:szCs w:val="18"/>
              </w:rPr>
            </w:pPr>
            <w:r>
              <w:rPr>
                <w:rFonts w:hint="default" w:ascii="Verdana" w:hAnsi="Verdana" w:eastAsia="宋体" w:cs="Verdana"/>
                <w:kern w:val="0"/>
                <w:sz w:val="21"/>
                <w:szCs w:val="21"/>
                <w:lang w:val="en-US" w:eastAsia="zh-CN" w:bidi="ar"/>
              </w:rPr>
              <w:t>案件办结率</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100%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90%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80%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jc w:val="center"/>
        </w:trPr>
        <w:tc>
          <w:tcPr>
            <w:tcW w:w="2341"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hAnsi="宋体" w:eastAsia="宋体" w:cs="宋体"/>
                <w:b w:val="0"/>
                <w:bCs/>
                <w:sz w:val="18"/>
                <w:szCs w:val="18"/>
              </w:rPr>
            </w:pPr>
          </w:p>
        </w:tc>
        <w:tc>
          <w:tcPr>
            <w:tcW w:w="127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hint="eastAsia" w:ascii="宋体" w:hAnsi="宋体" w:eastAsia="宋体" w:cs="宋体"/>
                <w:sz w:val="18"/>
                <w:szCs w:val="18"/>
              </w:rPr>
            </w:pPr>
          </w:p>
        </w:tc>
        <w:tc>
          <w:tcPr>
            <w:tcW w:w="297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2976"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Verdana" w:hAnsi="Verdana" w:cs="Verdana"/>
                <w:sz w:val="18"/>
                <w:szCs w:val="18"/>
              </w:rPr>
            </w:pPr>
            <w:r>
              <w:rPr>
                <w:rFonts w:hint="default" w:ascii="Verdana" w:hAnsi="Verdana" w:eastAsia="宋体" w:cs="Verdana"/>
                <w:kern w:val="0"/>
                <w:sz w:val="21"/>
                <w:szCs w:val="21"/>
                <w:lang w:val="en-US" w:eastAsia="zh-CN" w:bidi="ar"/>
              </w:rPr>
              <w:t>实名制管理推行率</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100%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90%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80%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b w:val="0"/>
                <w:bCs/>
                <w:sz w:val="18"/>
                <w:szCs w:val="18"/>
              </w:rPr>
            </w:pPr>
            <w:r>
              <w:rPr>
                <w:rFonts w:hint="eastAsia" w:ascii="宋体" w:hAnsi="宋体" w:eastAsia="宋体" w:cs="宋体"/>
                <w:b w:val="0"/>
                <w:bCs/>
                <w:kern w:val="0"/>
                <w:sz w:val="21"/>
                <w:szCs w:val="21"/>
                <w:lang w:val="en-US" w:eastAsia="zh-CN" w:bidi="ar"/>
              </w:rPr>
              <w:t>促进政府职能转变</w:t>
            </w:r>
          </w:p>
        </w:tc>
        <w:tc>
          <w:tcPr>
            <w:tcW w:w="12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18"/>
                <w:szCs w:val="18"/>
              </w:rPr>
            </w:pPr>
            <w:r>
              <w:rPr>
                <w:rFonts w:hint="eastAsia" w:ascii="宋体" w:hAnsi="宋体" w:eastAsia="宋体" w:cs="宋体"/>
                <w:kern w:val="0"/>
                <w:sz w:val="21"/>
                <w:szCs w:val="21"/>
                <w:lang w:val="en-US" w:eastAsia="zh-CN" w:bidi="ar"/>
              </w:rPr>
              <w:t>10.00</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强化社会管理和公共服务。规范行政行为，加强行政执法部门建设，减少和规范行政审批。</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强化社会管理和公共服务。规范行政行为，加强行政执法部门建设，减少和规范行政审批。</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b w:val="0"/>
                <w:bCs/>
                <w:sz w:val="18"/>
                <w:szCs w:val="18"/>
              </w:rPr>
            </w:pPr>
            <w:r>
              <w:rPr>
                <w:rFonts w:hint="eastAsia" w:ascii="宋体" w:hAnsi="宋体" w:eastAsia="宋体" w:cs="宋体"/>
                <w:b w:val="0"/>
                <w:bCs/>
                <w:kern w:val="0"/>
                <w:sz w:val="21"/>
                <w:szCs w:val="21"/>
                <w:lang w:val="en-US" w:eastAsia="zh-CN" w:bidi="ar"/>
              </w:rPr>
              <w:t>　　行政审批改革</w:t>
            </w:r>
          </w:p>
        </w:tc>
        <w:tc>
          <w:tcPr>
            <w:tcW w:w="12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18"/>
                <w:szCs w:val="18"/>
              </w:rPr>
            </w:pPr>
            <w:r>
              <w:rPr>
                <w:rFonts w:hint="eastAsia" w:ascii="宋体" w:hAnsi="宋体" w:eastAsia="宋体" w:cs="宋体"/>
                <w:kern w:val="0"/>
                <w:sz w:val="21"/>
                <w:szCs w:val="21"/>
                <w:lang w:val="en-US" w:eastAsia="zh-CN" w:bidi="ar"/>
              </w:rPr>
              <w:t>10.00</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全面清理县内行政审批项目。进一步优化行政审批流程。加强审改工作制度化、规范化和标准化建设。</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进一步优化行政审批流程,加强审改工作制度化、规范化和标准化建设。</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Verdana" w:hAnsi="Verdana" w:cs="Verdana"/>
                <w:sz w:val="18"/>
                <w:szCs w:val="18"/>
              </w:rPr>
            </w:pPr>
            <w:r>
              <w:rPr>
                <w:rFonts w:hint="default" w:ascii="Verdana" w:hAnsi="Verdana" w:eastAsia="宋体" w:cs="Verdana"/>
                <w:i w:val="0"/>
                <w:color w:val="000000"/>
                <w:kern w:val="0"/>
                <w:sz w:val="21"/>
                <w:szCs w:val="21"/>
                <w:lang w:val="en-US" w:eastAsia="zh-CN" w:bidi="ar"/>
              </w:rPr>
              <w:t>行政审批取消下放率</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Verdana" w:hAnsi="Verdana" w:cs="Verdana"/>
                <w:sz w:val="18"/>
                <w:szCs w:val="18"/>
              </w:rPr>
            </w:pPr>
            <w:r>
              <w:rPr>
                <w:rFonts w:hint="default" w:ascii="Verdana" w:hAnsi="Verdana" w:eastAsia="宋体" w:cs="Verdana"/>
                <w:i w:val="0"/>
                <w:color w:val="000000"/>
                <w:kern w:val="0"/>
                <w:sz w:val="18"/>
                <w:szCs w:val="18"/>
                <w:lang w:val="en-US" w:eastAsia="zh-CN" w:bidi="ar"/>
              </w:rPr>
              <w:t>95%</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Verdana" w:hAnsi="Verdana" w:cs="Verdana"/>
                <w:sz w:val="18"/>
                <w:szCs w:val="18"/>
              </w:rPr>
            </w:pPr>
            <w:r>
              <w:rPr>
                <w:rFonts w:hint="default" w:ascii="Verdana" w:hAnsi="Verdana" w:eastAsia="宋体" w:cs="Verdana"/>
                <w:i w:val="0"/>
                <w:color w:val="000000"/>
                <w:kern w:val="0"/>
                <w:sz w:val="18"/>
                <w:szCs w:val="18"/>
                <w:lang w:val="en-US" w:eastAsia="zh-CN" w:bidi="ar"/>
              </w:rPr>
              <w:t>80%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Verdana" w:hAnsi="Verdana" w:cs="Verdana"/>
                <w:sz w:val="18"/>
                <w:szCs w:val="18"/>
              </w:rPr>
            </w:pPr>
            <w:r>
              <w:rPr>
                <w:rFonts w:hint="default" w:ascii="Verdana" w:hAnsi="Verdana" w:eastAsia="宋体" w:cs="Verdana"/>
                <w:i w:val="0"/>
                <w:color w:val="000000"/>
                <w:kern w:val="0"/>
                <w:sz w:val="18"/>
                <w:szCs w:val="18"/>
                <w:lang w:val="en-US" w:eastAsia="zh-CN" w:bidi="ar"/>
              </w:rPr>
              <w:t>75%</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Verdana" w:hAnsi="Verdana" w:cs="Verdana"/>
                <w:sz w:val="18"/>
                <w:szCs w:val="18"/>
              </w:rPr>
            </w:pPr>
            <w:r>
              <w:rPr>
                <w:rFonts w:hint="default" w:ascii="Verdana" w:hAnsi="Verdana" w:eastAsia="宋体" w:cs="Verdana"/>
                <w:i w:val="0"/>
                <w:color w:val="000000"/>
                <w:kern w:val="0"/>
                <w:sz w:val="18"/>
                <w:szCs w:val="18"/>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b w:val="0"/>
                <w:bCs/>
                <w:sz w:val="18"/>
                <w:szCs w:val="18"/>
              </w:rPr>
            </w:pPr>
            <w:r>
              <w:rPr>
                <w:rFonts w:hint="eastAsia" w:ascii="宋体" w:hAnsi="宋体" w:eastAsia="宋体" w:cs="宋体"/>
                <w:b w:val="0"/>
                <w:bCs/>
                <w:kern w:val="0"/>
                <w:sz w:val="21"/>
                <w:szCs w:val="21"/>
                <w:lang w:val="en-US" w:eastAsia="zh-CN" w:bidi="ar"/>
              </w:rPr>
              <w:t>编办事务管理</w:t>
            </w:r>
          </w:p>
        </w:tc>
        <w:tc>
          <w:tcPr>
            <w:tcW w:w="12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18"/>
                <w:szCs w:val="18"/>
              </w:rPr>
            </w:pPr>
            <w:r>
              <w:rPr>
                <w:rFonts w:hint="eastAsia" w:ascii="宋体" w:hAnsi="宋体" w:eastAsia="宋体" w:cs="宋体"/>
                <w:kern w:val="0"/>
                <w:sz w:val="21"/>
                <w:szCs w:val="21"/>
                <w:lang w:val="en-US" w:eastAsia="zh-CN" w:bidi="ar"/>
              </w:rPr>
              <w:t>6.7</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做好机关人员管理及保障工作，为充分发挥职能作用提供有效保障。</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加强机关党组织建设，严格组织生活制度，丰富党建活动内容，做好党员发展、教育、管理和党务干部的教育培训工作，充分发挥党组织的战斗堡垒作用和党员的先锋模范作用。</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jc w:val="center"/>
        </w:trPr>
        <w:tc>
          <w:tcPr>
            <w:tcW w:w="2341"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b w:val="0"/>
                <w:bCs/>
                <w:sz w:val="18"/>
                <w:szCs w:val="18"/>
              </w:rPr>
            </w:pPr>
            <w:r>
              <w:rPr>
                <w:rFonts w:hint="eastAsia" w:ascii="宋体" w:hAnsi="宋体" w:eastAsia="宋体" w:cs="宋体"/>
                <w:b w:val="0"/>
                <w:bCs/>
                <w:kern w:val="0"/>
                <w:sz w:val="21"/>
                <w:szCs w:val="21"/>
                <w:lang w:val="en-US" w:eastAsia="zh-CN" w:bidi="ar"/>
              </w:rPr>
              <w:t>　　综合事务管理</w:t>
            </w:r>
          </w:p>
        </w:tc>
        <w:tc>
          <w:tcPr>
            <w:tcW w:w="12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18"/>
                <w:szCs w:val="18"/>
              </w:rPr>
            </w:pPr>
            <w:r>
              <w:rPr>
                <w:rFonts w:hint="eastAsia" w:ascii="宋体" w:hAnsi="宋体" w:eastAsia="宋体" w:cs="宋体"/>
                <w:kern w:val="0"/>
                <w:sz w:val="21"/>
                <w:szCs w:val="21"/>
                <w:lang w:val="en-US" w:eastAsia="zh-CN" w:bidi="ar"/>
              </w:rPr>
              <w:t>6.7</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负责全县机构编制信息管理系统、电子政务和机构编制网站的建设和管理，全县机构编制统计、数据分析工作。</w:t>
            </w:r>
          </w:p>
        </w:tc>
        <w:tc>
          <w:tcPr>
            <w:tcW w:w="297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机构编制信息平台和网站运行</w:t>
            </w:r>
          </w:p>
        </w:tc>
        <w:tc>
          <w:tcPr>
            <w:tcW w:w="141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综合事务保障率</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100%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80%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70%</w:t>
            </w:r>
          </w:p>
        </w:tc>
        <w:tc>
          <w:tcPr>
            <w:tcW w:w="737"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21"/>
                <w:szCs w:val="21"/>
                <w:lang w:val="en-US" w:eastAsia="zh-CN" w:bidi="ar"/>
              </w:rPr>
              <w:t>60%</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楷体" w:hAnsi="楷体" w:eastAsia="楷体" w:cs="楷体"/>
          <w:b/>
          <w:bCs/>
          <w:color w:val="333333"/>
          <w:kern w:val="0"/>
          <w:sz w:val="32"/>
          <w:szCs w:val="32"/>
          <w:shd w:val="clear" w:color="auto" w:fill="FFFFFF"/>
        </w:rPr>
      </w:pPr>
      <w:r>
        <w:rPr>
          <w:rFonts w:hint="eastAsia" w:ascii="楷体" w:hAnsi="楷体" w:eastAsia="楷体" w:cs="楷体"/>
          <w:b/>
          <w:bCs/>
          <w:color w:val="333333"/>
          <w:kern w:val="0"/>
          <w:sz w:val="32"/>
          <w:szCs w:val="32"/>
          <w:shd w:val="clear" w:color="auto" w:fill="FFFFFF"/>
          <w:lang w:val="en-US" w:eastAsia="zh-CN"/>
        </w:rPr>
        <w:t>（八）政府采购决算情况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201</w:t>
      </w:r>
      <w:r>
        <w:rPr>
          <w:rFonts w:hint="eastAsia" w:ascii="仿宋_GB2312" w:hAnsi="仿宋_GB2312" w:eastAsia="仿宋_GB2312" w:cs="仿宋_GB2312"/>
          <w:color w:val="333333"/>
          <w:kern w:val="0"/>
          <w:sz w:val="32"/>
          <w:szCs w:val="32"/>
          <w:shd w:val="clear" w:color="auto" w:fill="FFFFFF"/>
        </w:rPr>
        <w:t>6</w:t>
      </w:r>
      <w:r>
        <w:rPr>
          <w:rFonts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rPr>
        <w:t>度部门</w:t>
      </w:r>
      <w:r>
        <w:rPr>
          <w:rFonts w:ascii="仿宋_GB2312" w:hAnsi="仿宋_GB2312" w:eastAsia="仿宋_GB2312" w:cs="仿宋_GB2312"/>
          <w:color w:val="333333"/>
          <w:kern w:val="0"/>
          <w:sz w:val="32"/>
          <w:szCs w:val="32"/>
          <w:shd w:val="clear" w:color="auto" w:fill="FFFFFF"/>
        </w:rPr>
        <w:t>政府采购</w:t>
      </w:r>
      <w:r>
        <w:rPr>
          <w:rFonts w:hint="eastAsia" w:ascii="仿宋_GB2312" w:hAnsi="仿宋_GB2312" w:eastAsia="仿宋_GB2312" w:cs="仿宋_GB2312"/>
          <w:color w:val="333333"/>
          <w:kern w:val="0"/>
          <w:sz w:val="32"/>
          <w:szCs w:val="32"/>
          <w:shd w:val="clear" w:color="auto" w:fill="FFFFFF"/>
        </w:rPr>
        <w:t>支出</w:t>
      </w:r>
      <w:r>
        <w:rPr>
          <w:rFonts w:hint="eastAsia" w:ascii="仿宋_GB2312" w:hAnsi="仿宋_GB2312" w:eastAsia="仿宋_GB2312" w:cs="仿宋_GB2312"/>
          <w:color w:val="333333"/>
          <w:kern w:val="0"/>
          <w:sz w:val="32"/>
          <w:szCs w:val="32"/>
          <w:shd w:val="clear" w:color="auto" w:fill="FFFFFF"/>
          <w:lang w:val="en-US" w:eastAsia="zh-CN"/>
        </w:rPr>
        <w:t>0</w:t>
      </w:r>
      <w:r>
        <w:rPr>
          <w:rFonts w:ascii="仿宋_GB2312" w:hAnsi="仿宋_GB2312" w:eastAsia="仿宋_GB2312" w:cs="仿宋_GB2312"/>
          <w:color w:val="333333"/>
          <w:kern w:val="0"/>
          <w:sz w:val="32"/>
          <w:szCs w:val="32"/>
          <w:shd w:val="clear" w:color="auto" w:fill="FFFFFF"/>
        </w:rPr>
        <w:t>万元</w:t>
      </w:r>
      <w:r>
        <w:rPr>
          <w:rFonts w:hint="eastAsia" w:ascii="仿宋_GB2312" w:hAnsi="仿宋_GB2312" w:eastAsia="仿宋_GB2312" w:cs="仿宋_GB2312"/>
          <w:color w:val="333333"/>
          <w:kern w:val="0"/>
          <w:sz w:val="32"/>
          <w:szCs w:val="32"/>
          <w:shd w:val="clear" w:color="auto" w:fill="FFFFFF"/>
        </w:rPr>
        <w:t>，其中：政府采购货物支出</w:t>
      </w:r>
      <w:r>
        <w:rPr>
          <w:rFonts w:hint="eastAsia" w:ascii="仿宋_GB2312" w:hAnsi="仿宋_GB2312" w:eastAsia="仿宋_GB2312" w:cs="仿宋_GB2312"/>
          <w:color w:val="333333"/>
          <w:kern w:val="0"/>
          <w:sz w:val="32"/>
          <w:szCs w:val="32"/>
          <w:shd w:val="clear" w:color="auto" w:fill="FFFFFF"/>
          <w:lang w:val="en-US" w:eastAsia="zh-CN"/>
        </w:rPr>
        <w:t>0</w:t>
      </w:r>
      <w:r>
        <w:rPr>
          <w:rFonts w:hint="eastAsia" w:ascii="仿宋_GB2312" w:hAnsi="仿宋_GB2312" w:eastAsia="仿宋_GB2312" w:cs="仿宋_GB2312"/>
          <w:color w:val="333333"/>
          <w:kern w:val="0"/>
          <w:sz w:val="32"/>
          <w:szCs w:val="32"/>
          <w:shd w:val="clear" w:color="auto" w:fill="FFFFFF"/>
        </w:rPr>
        <w:t>万元，政府采购工程支出</w:t>
      </w:r>
      <w:r>
        <w:rPr>
          <w:rFonts w:hint="eastAsia" w:ascii="仿宋_GB2312" w:hAnsi="仿宋_GB2312" w:eastAsia="仿宋_GB2312" w:cs="仿宋_GB2312"/>
          <w:color w:val="333333"/>
          <w:kern w:val="0"/>
          <w:sz w:val="32"/>
          <w:szCs w:val="32"/>
          <w:shd w:val="clear" w:color="auto" w:fill="FFFFFF"/>
          <w:lang w:val="en-US" w:eastAsia="zh-CN"/>
        </w:rPr>
        <w:t>0</w:t>
      </w:r>
      <w:r>
        <w:rPr>
          <w:rFonts w:hint="eastAsia" w:ascii="仿宋_GB2312" w:hAnsi="仿宋_GB2312" w:eastAsia="仿宋_GB2312" w:cs="仿宋_GB2312"/>
          <w:color w:val="333333"/>
          <w:kern w:val="0"/>
          <w:sz w:val="32"/>
          <w:szCs w:val="32"/>
          <w:shd w:val="clear" w:color="auto" w:fill="FFFFFF"/>
        </w:rPr>
        <w:t>万元，政府采购服务支出</w:t>
      </w:r>
      <w:r>
        <w:rPr>
          <w:rFonts w:hint="eastAsia" w:ascii="仿宋_GB2312" w:hAnsi="仿宋_GB2312" w:eastAsia="仿宋_GB2312" w:cs="仿宋_GB2312"/>
          <w:color w:val="333333"/>
          <w:kern w:val="0"/>
          <w:sz w:val="32"/>
          <w:szCs w:val="32"/>
          <w:shd w:val="clear" w:color="auto" w:fill="FFFFFF"/>
          <w:lang w:val="en-US" w:eastAsia="zh-CN"/>
        </w:rPr>
        <w:t>0</w:t>
      </w:r>
      <w:r>
        <w:rPr>
          <w:rFonts w:hint="eastAsia" w:ascii="仿宋_GB2312" w:hAnsi="仿宋_GB2312" w:eastAsia="仿宋_GB2312" w:cs="仿宋_GB2312"/>
          <w:color w:val="333333"/>
          <w:kern w:val="0"/>
          <w:sz w:val="32"/>
          <w:szCs w:val="32"/>
          <w:shd w:val="clear" w:color="auto" w:fill="FFFFFF"/>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楷体" w:hAnsi="楷体" w:eastAsia="楷体" w:cs="楷体"/>
          <w:b/>
          <w:bCs/>
          <w:color w:val="333333"/>
          <w:kern w:val="0"/>
          <w:sz w:val="32"/>
          <w:szCs w:val="32"/>
          <w:shd w:val="clear" w:color="auto" w:fill="FFFFFF"/>
          <w:lang w:val="en-US" w:eastAsia="zh-CN"/>
        </w:rPr>
      </w:pPr>
      <w:r>
        <w:rPr>
          <w:rFonts w:hint="eastAsia" w:ascii="楷体" w:hAnsi="楷体" w:eastAsia="楷体" w:cs="楷体"/>
          <w:b/>
          <w:bCs/>
          <w:color w:val="333333"/>
          <w:kern w:val="0"/>
          <w:sz w:val="32"/>
          <w:szCs w:val="32"/>
          <w:shd w:val="clear" w:color="auto" w:fill="FFFFFF"/>
          <w:lang w:val="en-US" w:eastAsia="zh-CN"/>
        </w:rPr>
        <w:t>（九）国有资产信息情况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32"/>
          <w:szCs w:val="32"/>
          <w:lang w:val="en-US" w:eastAsia="zh-CN" w:bidi="ar"/>
        </w:rPr>
        <w:t>本部门本年末固定资产总额50.38万元，其中固定资产50.38万元。详情见下述情况表：</w:t>
      </w:r>
    </w:p>
    <w:tbl>
      <w:tblPr>
        <w:tblStyle w:val="3"/>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13482" w:type="dxa"/>
            <w:gridSpan w:val="3"/>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sz w:val="18"/>
                <w:szCs w:val="18"/>
              </w:rPr>
            </w:pPr>
            <w:r>
              <w:rPr>
                <w:rFonts w:hint="default" w:ascii="Verdana" w:hAnsi="Verdana" w:eastAsia="宋体" w:cs="Verdana"/>
                <w:b w:val="0"/>
                <w:bCs/>
                <w:kern w:val="0"/>
                <w:sz w:val="32"/>
                <w:szCs w:val="32"/>
                <w:lang w:val="en-US" w:eastAsia="zh-CN" w:bidi="ar"/>
              </w:rPr>
              <w:t>霸州市机构编制委员会办公室固定资产占用情况表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379" w:type="dxa"/>
            <w:gridSpan w:val="2"/>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编制部门：</w:t>
            </w:r>
            <w:r>
              <w:rPr>
                <w:rFonts w:hint="eastAsia" w:ascii="Verdana" w:hAnsi="Verdana" w:eastAsia="宋体" w:cs="Verdana"/>
                <w:kern w:val="0"/>
                <w:sz w:val="22"/>
                <w:szCs w:val="22"/>
                <w:lang w:val="en-US" w:eastAsia="zh-CN" w:bidi="ar"/>
              </w:rPr>
              <w:t>118</w:t>
            </w:r>
            <w:r>
              <w:rPr>
                <w:rFonts w:hint="default" w:ascii="Verdana" w:hAnsi="Verdana" w:eastAsia="宋体" w:cs="Verdana"/>
                <w:kern w:val="0"/>
                <w:sz w:val="22"/>
                <w:szCs w:val="22"/>
                <w:lang w:val="en-US" w:eastAsia="zh-CN" w:bidi="ar"/>
              </w:rPr>
              <w:t>霸州市机构编制委员会办公室</w:t>
            </w:r>
          </w:p>
        </w:tc>
        <w:tc>
          <w:tcPr>
            <w:tcW w:w="5103"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 xml:space="preserve">截止时间：2016年12月31日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b w:val="0"/>
                <w:bCs/>
                <w:sz w:val="18"/>
                <w:szCs w:val="18"/>
              </w:rPr>
            </w:pPr>
            <w:r>
              <w:rPr>
                <w:rFonts w:hint="default" w:ascii="Verdana" w:hAnsi="Verdana" w:eastAsia="宋体" w:cs="Verdana"/>
                <w:b w:val="0"/>
                <w:bCs/>
                <w:kern w:val="0"/>
                <w:sz w:val="22"/>
                <w:szCs w:val="22"/>
                <w:lang w:val="en-US" w:eastAsia="zh-CN" w:bidi="ar"/>
              </w:rPr>
              <w:t>项 目</w:t>
            </w:r>
          </w:p>
        </w:tc>
        <w:tc>
          <w:tcPr>
            <w:tcW w:w="315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b w:val="0"/>
                <w:bCs/>
                <w:sz w:val="18"/>
                <w:szCs w:val="18"/>
              </w:rPr>
            </w:pPr>
            <w:r>
              <w:rPr>
                <w:rFonts w:hint="default" w:ascii="Verdana" w:hAnsi="Verdana" w:eastAsia="宋体" w:cs="Verdana"/>
                <w:b w:val="0"/>
                <w:bCs/>
                <w:kern w:val="0"/>
                <w:sz w:val="22"/>
                <w:szCs w:val="22"/>
                <w:lang w:val="en-US" w:eastAsia="zh-CN" w:bidi="ar"/>
              </w:rPr>
              <w:t>数量</w:t>
            </w:r>
          </w:p>
        </w:tc>
        <w:tc>
          <w:tcPr>
            <w:tcW w:w="51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b w:val="0"/>
                <w:bCs/>
                <w:sz w:val="18"/>
                <w:szCs w:val="18"/>
              </w:rPr>
            </w:pPr>
            <w:r>
              <w:rPr>
                <w:rFonts w:hint="default" w:ascii="Verdana" w:hAnsi="Verdana" w:eastAsia="宋体" w:cs="Verdana"/>
                <w:b w:val="0"/>
                <w:bCs/>
                <w:kern w:val="0"/>
                <w:sz w:val="22"/>
                <w:szCs w:val="22"/>
                <w:lang w:val="en-US" w:eastAsia="zh-CN" w:bidi="ar"/>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sz w:val="18"/>
                <w:szCs w:val="18"/>
              </w:rPr>
            </w:pPr>
            <w:r>
              <w:rPr>
                <w:rFonts w:hint="default" w:ascii="Verdana" w:hAnsi="Verdana" w:eastAsia="宋体" w:cs="Verdana"/>
                <w:kern w:val="0"/>
                <w:sz w:val="22"/>
                <w:szCs w:val="22"/>
                <w:lang w:val="en-US" w:eastAsia="zh-CN" w:bidi="ar"/>
              </w:rPr>
              <w:t>资产总额</w:t>
            </w:r>
          </w:p>
        </w:tc>
        <w:tc>
          <w:tcPr>
            <w:tcW w:w="31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sz w:val="18"/>
                <w:szCs w:val="18"/>
              </w:rPr>
            </w:pPr>
            <w:r>
              <w:rPr>
                <w:rFonts w:hint="default" w:ascii="Verdana" w:hAnsi="Verdana" w:eastAsia="宋体" w:cs="Verdana"/>
                <w:kern w:val="0"/>
                <w:sz w:val="22"/>
                <w:szCs w:val="22"/>
                <w:lang w:val="en-US" w:eastAsia="zh-CN" w:bidi="ar"/>
              </w:rPr>
              <w:t>——</w:t>
            </w: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kern w:val="0"/>
                <w:sz w:val="22"/>
                <w:szCs w:val="22"/>
                <w:lang w:val="en-US" w:eastAsia="zh-CN" w:bidi="ar"/>
              </w:rPr>
              <w:t>50.38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1、房屋（平方米）</w:t>
            </w:r>
          </w:p>
        </w:tc>
        <w:tc>
          <w:tcPr>
            <w:tcW w:w="31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b w:val="0"/>
                <w:bCs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其中：办公用房（平方米）</w:t>
            </w:r>
          </w:p>
        </w:tc>
        <w:tc>
          <w:tcPr>
            <w:tcW w:w="31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b w:val="0"/>
                <w:bCs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2、车辆（台、辆）</w:t>
            </w:r>
          </w:p>
        </w:tc>
        <w:tc>
          <w:tcPr>
            <w:tcW w:w="31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Verdana" w:hAnsi="Verdana" w:cs="Verdana"/>
                <w:sz w:val="18"/>
                <w:szCs w:val="18"/>
              </w:rPr>
            </w:pPr>
            <w:r>
              <w:rPr>
                <w:rFonts w:hint="eastAsia" w:ascii="宋体" w:hAnsi="宋体" w:eastAsia="宋体" w:cs="宋体"/>
                <w:kern w:val="0"/>
                <w:sz w:val="22"/>
                <w:szCs w:val="22"/>
                <w:lang w:val="en-US" w:eastAsia="zh-CN" w:bidi="ar"/>
              </w:rPr>
              <w:t>1</w:t>
            </w: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kern w:val="0"/>
                <w:sz w:val="22"/>
                <w:szCs w:val="22"/>
                <w:lang w:val="en-US" w:eastAsia="zh-CN" w:bidi="ar"/>
              </w:rPr>
              <w:t>17.98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3、单价在20万元以上的设备</w:t>
            </w:r>
          </w:p>
        </w:tc>
        <w:tc>
          <w:tcPr>
            <w:tcW w:w="31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b w:val="0"/>
                <w:bCs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Verdana" w:hAnsi="Verdana" w:cs="Verdana"/>
                <w:sz w:val="18"/>
                <w:szCs w:val="18"/>
              </w:rPr>
            </w:pPr>
            <w:r>
              <w:rPr>
                <w:rFonts w:hint="default" w:ascii="Verdana" w:hAnsi="Verdana" w:eastAsia="宋体" w:cs="Verdana"/>
                <w:kern w:val="0"/>
                <w:sz w:val="22"/>
                <w:szCs w:val="22"/>
                <w:lang w:val="en-US" w:eastAsia="zh-CN" w:bidi="ar"/>
              </w:rPr>
              <w:t>4、其他固定资产</w:t>
            </w:r>
          </w:p>
        </w:tc>
        <w:tc>
          <w:tcPr>
            <w:tcW w:w="31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Verdana" w:hAnsi="Verdana" w:cs="Verdana"/>
                <w:sz w:val="18"/>
                <w:szCs w:val="18"/>
              </w:rPr>
            </w:pP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b w:val="0"/>
                <w:bCs w:val="0"/>
                <w:sz w:val="18"/>
                <w:szCs w:val="18"/>
              </w:rPr>
            </w:pPr>
            <w:r>
              <w:rPr>
                <w:rFonts w:hint="eastAsia" w:ascii="宋体" w:hAnsi="宋体" w:eastAsia="宋体" w:cs="宋体"/>
                <w:b w:val="0"/>
                <w:bCs w:val="0"/>
                <w:kern w:val="0"/>
                <w:sz w:val="22"/>
                <w:szCs w:val="22"/>
                <w:lang w:val="en-US" w:eastAsia="zh-CN" w:bidi="ar"/>
              </w:rPr>
              <w:t>32.40</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left"/>
        <w:rPr>
          <w:rFonts w:hint="eastAsia" w:ascii="楷体" w:hAnsi="楷体" w:eastAsia="楷体" w:cs="楷体"/>
          <w:b/>
          <w:bCs/>
          <w:kern w:val="0"/>
          <w:sz w:val="32"/>
          <w:szCs w:val="32"/>
          <w:lang w:val="en-US" w:eastAsia="zh-CN" w:bidi="ar"/>
        </w:rPr>
      </w:pPr>
      <w:bookmarkStart w:id="0" w:name="_GoBack"/>
      <w:r>
        <w:rPr>
          <w:rFonts w:hint="eastAsia" w:ascii="楷体" w:hAnsi="楷体" w:eastAsia="楷体" w:cs="楷体"/>
          <w:b/>
          <w:bCs/>
          <w:kern w:val="0"/>
          <w:sz w:val="32"/>
          <w:szCs w:val="32"/>
          <w:lang w:val="en-US" w:eastAsia="zh-CN" w:bidi="ar"/>
        </w:rPr>
        <w:t>（十）其它需说明的事项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无其它需要说明的事项。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firstLineChars="200"/>
        <w:jc w:val="left"/>
        <w:rPr>
          <w:rFonts w:hint="eastAsia" w:ascii="黑体" w:hAnsi="黑体" w:eastAsia="黑体" w:cs="黑体"/>
          <w:sz w:val="21"/>
          <w:szCs w:val="21"/>
        </w:rPr>
      </w:pPr>
      <w:r>
        <w:rPr>
          <w:rFonts w:hint="eastAsia" w:ascii="黑体" w:hAnsi="黑体" w:eastAsia="黑体" w:cs="黑体"/>
          <w:kern w:val="0"/>
          <w:sz w:val="32"/>
          <w:szCs w:val="32"/>
          <w:lang w:val="en-US" w:eastAsia="zh-CN" w:bidi="ar"/>
        </w:rPr>
        <w:t>四、名词解释</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一</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财政拨款收入：本年度从本级财政部门取得的财政拨款，包括一般公共预算财政拨款和政府性基金预算财政拨款。</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事业收入：指事业单位开展专业业务活动及辅助活动所取得的收入。</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三</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其他收入：指除上述“财政拨款收入”、“事业收入”、“经营收入”等以外的收入。</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四</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五</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年初结转和结余：指以前年度尚未完成、结转到本年仍按原规定用途继续使用的资金，或项目已完成等产生的结余资金。</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六</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结余分配：指事业单位按照事业单位会计制度的规定从非财政补助结余中分配的事业基金和职工福利基金等。</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七</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年末结转和结余：指单位按有关规定结转到下年或以后年度继续使用的资金，或项目已完成等产生的结余资金。</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八</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基本支出：填列单位为保障机构正常运转、完成日常工作任务而发生的各项支出。</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九</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项目支出：填列单位为完成特定的行政工作任务或事业发展目标，在基本支出之外发生的各项支出。</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十一</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其他资本性支出：填列由各级非发展与改革部门集中安排的用于购置固定资产、战备性和应急性储备、土地和无形资产，以及购建基础设施、大型修缮和财政支持企业更新改造所发生的支出。</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十三</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其他交通费用：填列单位除公务用车运行维护费以外的其他交通费用。如飞机、船舶等的燃料费、维修费、过桥过路费、保险费、出租车费用、公务交通补贴等。</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十四</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公务用车购置：填列单位公务用车车辆购置支出（含车辆购置税）。</w:t>
      </w:r>
    </w:p>
    <w:p>
      <w:pPr>
        <w:autoSpaceDE w:val="0"/>
        <w:autoSpaceDN w:val="0"/>
        <w:snapToGrid w:val="0"/>
        <w:spacing w:line="520" w:lineRule="exact"/>
        <w:ind w:firstLine="645"/>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十五</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其他交通工具购置：填列单位除公务用车外的其他各类交通工具（如船舶、飞机）购置支出（含车辆购置税）。</w:t>
      </w:r>
    </w:p>
    <w:p>
      <w:pPr>
        <w:autoSpaceDE w:val="0"/>
        <w:autoSpaceDN w:val="0"/>
        <w:snapToGrid w:val="0"/>
        <w:spacing w:line="520" w:lineRule="exact"/>
        <w:ind w:firstLine="645"/>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十六</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widowControl/>
        <w:suppressLineNumbers w:val="0"/>
        <w:jc w:val="left"/>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T Extra">
    <w:panose1 w:val="05050102010205020202"/>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Gabriola">
    <w:panose1 w:val="04040605051002020D02"/>
    <w:charset w:val="00"/>
    <w:family w:val="auto"/>
    <w:pitch w:val="default"/>
    <w:sig w:usb0="E00002EF" w:usb1="5000204B" w:usb2="00000000" w:usb3="00000000" w:csb0="2000009F" w:csb1="00000000"/>
  </w:font>
  <w:font w:name="icomoon">
    <w:altName w:val="Segoe Print"/>
    <w:panose1 w:val="00000000000000000000"/>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5002EFF" w:usb1="C000605B" w:usb2="00000029" w:usb3="00000000" w:csb0="200101FF" w:csb1="20280000"/>
  </w:font>
  <w:font w:name="Plantagenet Cherokee">
    <w:panose1 w:val="02020602070100000000"/>
    <w:charset w:val="00"/>
    <w:family w:val="auto"/>
    <w:pitch w:val="default"/>
    <w:sig w:usb0="00000003" w:usb1="00000000" w:usb2="00001000" w:usb3="00000000" w:csb0="00000001" w:csb1="00000000"/>
  </w:font>
  <w:font w:name="DokChampa">
    <w:panose1 w:val="020B0604020202020204"/>
    <w:charset w:val="00"/>
    <w:family w:val="auto"/>
    <w:pitch w:val="default"/>
    <w:sig w:usb0="03000003" w:usb1="00000000" w:usb2="00000000" w:usb3="00000000" w:csb0="40010001" w:csb1="00000000"/>
  </w:font>
  <w:font w:name="方正小标宋简体">
    <w:panose1 w:val="02010601030101010101"/>
    <w:charset w:val="86"/>
    <w:family w:val="auto"/>
    <w:pitch w:val="default"/>
    <w:sig w:usb0="00000001" w:usb1="080E0000" w:usb2="00000000" w:usb3="00000000" w:csb0="00040000" w:csb1="00000000"/>
  </w:font>
  <w:font w:name="小标宋">
    <w:altName w:val="黑体"/>
    <w:panose1 w:val="03000509000000000000"/>
    <w:charset w:val="86"/>
    <w:family w:val="script"/>
    <w:pitch w:val="default"/>
    <w:sig w:usb0="00000000" w:usb1="00000000" w:usb2="00000010" w:usb3="00000000" w:csb0="00040000" w:csb1="00000000"/>
  </w:font>
  <w:font w:name="黑体">
    <w:panose1 w:val="02010609060101010101"/>
    <w:charset w:val="7A"/>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7A"/>
    <w:family w:val="swiss"/>
    <w:pitch w:val="default"/>
    <w:sig w:usb0="80000287" w:usb1="280F3C52" w:usb2="00000016" w:usb3="00000000" w:csb0="0004001F" w:csb1="00000000"/>
  </w:font>
  <w:font w:name="楷体">
    <w:panose1 w:val="02010609060101010101"/>
    <w:charset w:val="7A"/>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7A"/>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SimSun-ExtB"/>
    <w:panose1 w:val="00000000000000000000"/>
    <w:charset w:val="86"/>
    <w:family w:val="script"/>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CE3E1"/>
    <w:multiLevelType w:val="singleLevel"/>
    <w:tmpl w:val="59FCE3E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25BE"/>
    <w:rsid w:val="01C46FA9"/>
    <w:rsid w:val="02B316F1"/>
    <w:rsid w:val="059613B6"/>
    <w:rsid w:val="06FB1BC9"/>
    <w:rsid w:val="07DA541F"/>
    <w:rsid w:val="08750F24"/>
    <w:rsid w:val="08D2054D"/>
    <w:rsid w:val="09585DDF"/>
    <w:rsid w:val="09D30B53"/>
    <w:rsid w:val="0AA425C7"/>
    <w:rsid w:val="0BC175F0"/>
    <w:rsid w:val="0BF8270B"/>
    <w:rsid w:val="0C00767B"/>
    <w:rsid w:val="0C67261F"/>
    <w:rsid w:val="0D1C72B8"/>
    <w:rsid w:val="0D4B68B3"/>
    <w:rsid w:val="0D5A03E4"/>
    <w:rsid w:val="0D7760F1"/>
    <w:rsid w:val="11865F5D"/>
    <w:rsid w:val="120F1B2C"/>
    <w:rsid w:val="13F35288"/>
    <w:rsid w:val="14DA07AD"/>
    <w:rsid w:val="15037A71"/>
    <w:rsid w:val="157629A8"/>
    <w:rsid w:val="15965E41"/>
    <w:rsid w:val="16715D44"/>
    <w:rsid w:val="16762960"/>
    <w:rsid w:val="16D23CF7"/>
    <w:rsid w:val="16DD0448"/>
    <w:rsid w:val="16EC5983"/>
    <w:rsid w:val="177075C6"/>
    <w:rsid w:val="17AD4E26"/>
    <w:rsid w:val="17BE4977"/>
    <w:rsid w:val="17F059D7"/>
    <w:rsid w:val="180815F3"/>
    <w:rsid w:val="18832B02"/>
    <w:rsid w:val="198D466E"/>
    <w:rsid w:val="19A72FFB"/>
    <w:rsid w:val="1A894919"/>
    <w:rsid w:val="1AE87642"/>
    <w:rsid w:val="1B5C49EF"/>
    <w:rsid w:val="1BAB5826"/>
    <w:rsid w:val="1CEB640B"/>
    <w:rsid w:val="1DBB288F"/>
    <w:rsid w:val="1DC248BB"/>
    <w:rsid w:val="1F02231F"/>
    <w:rsid w:val="1F4D002F"/>
    <w:rsid w:val="1F504F69"/>
    <w:rsid w:val="213E1127"/>
    <w:rsid w:val="219315C9"/>
    <w:rsid w:val="224B4953"/>
    <w:rsid w:val="226C59A2"/>
    <w:rsid w:val="228437BF"/>
    <w:rsid w:val="2462758C"/>
    <w:rsid w:val="24966452"/>
    <w:rsid w:val="25997B35"/>
    <w:rsid w:val="270E322E"/>
    <w:rsid w:val="2728590F"/>
    <w:rsid w:val="2746067F"/>
    <w:rsid w:val="28055EA7"/>
    <w:rsid w:val="290E2B4B"/>
    <w:rsid w:val="29AE0A6A"/>
    <w:rsid w:val="29CC684A"/>
    <w:rsid w:val="29E44D98"/>
    <w:rsid w:val="2A452C37"/>
    <w:rsid w:val="2A8011DF"/>
    <w:rsid w:val="2AF407F0"/>
    <w:rsid w:val="2BCF24C0"/>
    <w:rsid w:val="2BED53B8"/>
    <w:rsid w:val="2DFA2DE1"/>
    <w:rsid w:val="2E787F52"/>
    <w:rsid w:val="2F1F560F"/>
    <w:rsid w:val="2FE4048C"/>
    <w:rsid w:val="30BF1373"/>
    <w:rsid w:val="3186511F"/>
    <w:rsid w:val="31A856FF"/>
    <w:rsid w:val="335B3D83"/>
    <w:rsid w:val="35CC2E53"/>
    <w:rsid w:val="35F35ECD"/>
    <w:rsid w:val="366239A0"/>
    <w:rsid w:val="36742F36"/>
    <w:rsid w:val="37382FF7"/>
    <w:rsid w:val="388C2F53"/>
    <w:rsid w:val="390231F6"/>
    <w:rsid w:val="39710B9C"/>
    <w:rsid w:val="39A165C1"/>
    <w:rsid w:val="3A07310E"/>
    <w:rsid w:val="3A8C10A7"/>
    <w:rsid w:val="3AFD3406"/>
    <w:rsid w:val="3B42377C"/>
    <w:rsid w:val="3BC83696"/>
    <w:rsid w:val="3C6A53B2"/>
    <w:rsid w:val="3EB24DC4"/>
    <w:rsid w:val="3EC428FA"/>
    <w:rsid w:val="3F726DAD"/>
    <w:rsid w:val="407C000F"/>
    <w:rsid w:val="423A6B29"/>
    <w:rsid w:val="44E6323A"/>
    <w:rsid w:val="45466A3A"/>
    <w:rsid w:val="4648558E"/>
    <w:rsid w:val="49196B5E"/>
    <w:rsid w:val="493926F8"/>
    <w:rsid w:val="4991666E"/>
    <w:rsid w:val="4A2D7778"/>
    <w:rsid w:val="4C850A3E"/>
    <w:rsid w:val="4CB55ED1"/>
    <w:rsid w:val="4D35192E"/>
    <w:rsid w:val="4EA21CE5"/>
    <w:rsid w:val="4EEA414E"/>
    <w:rsid w:val="501E500A"/>
    <w:rsid w:val="506308E6"/>
    <w:rsid w:val="54A230E5"/>
    <w:rsid w:val="5557579A"/>
    <w:rsid w:val="55C022ED"/>
    <w:rsid w:val="5658001F"/>
    <w:rsid w:val="56707659"/>
    <w:rsid w:val="56DD3E3A"/>
    <w:rsid w:val="580260DC"/>
    <w:rsid w:val="58D33D12"/>
    <w:rsid w:val="59285BE0"/>
    <w:rsid w:val="598010E9"/>
    <w:rsid w:val="59E96E63"/>
    <w:rsid w:val="59FF1E80"/>
    <w:rsid w:val="5CB23D50"/>
    <w:rsid w:val="5D047224"/>
    <w:rsid w:val="5D2721D7"/>
    <w:rsid w:val="5D4C32F7"/>
    <w:rsid w:val="5E997C50"/>
    <w:rsid w:val="5F304B0A"/>
    <w:rsid w:val="5F7E4B37"/>
    <w:rsid w:val="61B13049"/>
    <w:rsid w:val="61C9496A"/>
    <w:rsid w:val="62D92A50"/>
    <w:rsid w:val="635E01EE"/>
    <w:rsid w:val="6740420F"/>
    <w:rsid w:val="67543B37"/>
    <w:rsid w:val="67827722"/>
    <w:rsid w:val="67A44A0E"/>
    <w:rsid w:val="68613AD1"/>
    <w:rsid w:val="6A626D3F"/>
    <w:rsid w:val="6B9E375C"/>
    <w:rsid w:val="6C5D213B"/>
    <w:rsid w:val="6D3869CD"/>
    <w:rsid w:val="6D6727F2"/>
    <w:rsid w:val="6F6D1B5E"/>
    <w:rsid w:val="70805030"/>
    <w:rsid w:val="70DC6A51"/>
    <w:rsid w:val="717D740B"/>
    <w:rsid w:val="719F4AC6"/>
    <w:rsid w:val="71B96505"/>
    <w:rsid w:val="73EE656B"/>
    <w:rsid w:val="74402907"/>
    <w:rsid w:val="74645334"/>
    <w:rsid w:val="74EC1C69"/>
    <w:rsid w:val="75DA6F4C"/>
    <w:rsid w:val="76271B13"/>
    <w:rsid w:val="768656AA"/>
    <w:rsid w:val="76A023FE"/>
    <w:rsid w:val="76F3156C"/>
    <w:rsid w:val="77ED7686"/>
    <w:rsid w:val="788E5A37"/>
    <w:rsid w:val="790B4F10"/>
    <w:rsid w:val="7A263C09"/>
    <w:rsid w:val="7B85011F"/>
    <w:rsid w:val="7BF306FC"/>
    <w:rsid w:val="7CB21918"/>
    <w:rsid w:val="7EAA6DBD"/>
    <w:rsid w:val="7FD465A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2017-11-04T02:49:25Z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